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bookmarkStart w:id="0" w:name="_GoBack"/>
      <w:r>
        <w:rPr>
          <w:rFonts w:hint="eastAsia" w:ascii="宋体" w:hAnsi="宋体" w:eastAsia="宋体" w:cs="宋体"/>
          <w:b/>
          <w:i w:val="0"/>
          <w:color w:val="auto"/>
          <w:sz w:val="36"/>
        </w:rPr>
        <w:t>中华人民共和国海事诉讼特别程序法（1999）</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发文机关：</w:t>
      </w:r>
      <w:r>
        <w:rPr>
          <w:rFonts w:hint="eastAsia" w:ascii="宋体" w:hAnsi="宋体" w:eastAsia="宋体" w:cs="宋体"/>
          <w:b w:val="0"/>
          <w:i w:val="0"/>
          <w:color w:val="auto"/>
          <w:sz w:val="26"/>
        </w:rPr>
        <w:t>全国人民代表大会常务委员会</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发布日期：</w:t>
      </w:r>
      <w:r>
        <w:rPr>
          <w:rFonts w:hint="eastAsia" w:ascii="宋体" w:hAnsi="宋体" w:eastAsia="宋体" w:cs="宋体"/>
          <w:b w:val="0"/>
          <w:i w:val="0"/>
          <w:color w:val="auto"/>
          <w:sz w:val="26"/>
        </w:rPr>
        <w:t>1999-12-25</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实施日期：</w:t>
      </w:r>
      <w:r>
        <w:rPr>
          <w:rFonts w:hint="eastAsia" w:ascii="宋体" w:hAnsi="宋体" w:eastAsia="宋体" w:cs="宋体"/>
          <w:b w:val="0"/>
          <w:i w:val="0"/>
          <w:color w:val="auto"/>
          <w:sz w:val="26"/>
        </w:rPr>
        <w:t>2000-07-01</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时效性：</w:t>
      </w:r>
      <w:r>
        <w:rPr>
          <w:rFonts w:hint="eastAsia" w:ascii="宋体" w:hAnsi="宋体" w:eastAsia="宋体" w:cs="宋体"/>
          <w:b w:val="0"/>
          <w:i w:val="0"/>
          <w:color w:val="auto"/>
          <w:sz w:val="26"/>
        </w:rPr>
        <w:t>现行有效</w:t>
      </w:r>
    </w:p>
    <w:p>
      <w:pPr>
        <w:ind w:firstLine="0"/>
        <w:jc w:val="center"/>
        <w:textAlignment w:val="center"/>
        <w:rPr>
          <w:rFonts w:hint="eastAsia" w:ascii="宋体" w:hAnsi="宋体" w:eastAsia="宋体" w:cs="宋体"/>
          <w:color w:val="auto"/>
        </w:rPr>
      </w:pPr>
      <w:r>
        <w:rPr>
          <w:rFonts w:hint="eastAsia" w:ascii="宋体" w:hAnsi="宋体" w:eastAsia="宋体" w:cs="宋体"/>
          <w:b w:val="0"/>
          <w:i w:val="0"/>
          <w:color w:val="auto"/>
          <w:sz w:val="26"/>
        </w:rPr>
        <w:t>（1999年12月25日第九届全国人民代表大会常务委员会第十三次会议通过1999年12月25日中华人民共和国主席令第二十八号公布自2000年7月1日起施行）</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36"/>
        </w:rPr>
        <w:t>目录</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第一章 总则</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第二章 管辖</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第三章 海事请求保全</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第一节 一般规定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船舶的扣押与拍卖</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船载货物的扣押与拍卖</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第四章 海事强制令</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第五章 海事证据保全</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第六章 海事担保</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第七章 送达</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第八章 审判程序</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第一节 审理船舶碰撞案件的规定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审理共同海损案件的规定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海上保险人行使代位请求赔偿权利的规定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第四节 简易程序、督促程序和公示催告程序</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第九章 设立海事赔偿责任限制基金程序</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第十章 债权登记与受偿程序</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第十一章 船舶优先权催告程序</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第十二章 附则</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36"/>
        </w:rPr>
        <w:t>正文</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第一章 总则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为维护海事诉讼当事人的诉讼权利，保证人民法院查明事实，分清责任，正确适用法律，及时审理海事案件，制定本法。</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第二条</w:t>
      </w:r>
    </w:p>
    <w:p>
      <w:pPr>
        <w:ind w:firstLine="1000"/>
        <w:jc w:val="left"/>
        <w:textAlignment w:val="center"/>
        <w:rPr>
          <w:rFonts w:hint="eastAsia" w:ascii="宋体" w:hAnsi="宋体" w:eastAsia="宋体" w:cs="宋体"/>
          <w:b w:val="0"/>
          <w:i w:val="0"/>
          <w:color w:val="auto"/>
          <w:sz w:val="26"/>
        </w:rPr>
        <w:sectPr>
          <w:footerReference r:id="rId3" w:type="default"/>
          <w:footerReference r:id="rId4" w:type="even"/>
          <w:pgSz w:w="11900" w:h="16840"/>
          <w:pgMar w:top="737" w:right="907" w:bottom="720" w:left="907" w:header="0" w:footer="170" w:gutter="0"/>
          <w:pgNumType w:start="1"/>
          <w:cols w:space="425" w:num="1"/>
          <w:docGrid w:type="lines" w:linePitch="423" w:charSpace="0"/>
        </w:sectPr>
      </w:pP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在中华人民共和国领域内进行海事诉讼，适用《中华人民共和国民事诉讼法》和本法。本法有规定的，依照其规定。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中华人民共和国缔结或者参加的国际条约与《中华人民共和国民事诉讼法》和本法对涉外海事诉讼有不同规定的，适用该国际条约的规定，但中华人民共和国声明保留的条款除外。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海事法院受理当事人因海事侵权纠纷、海商合同纠纷以及法律规定的其他海事纠纷提起的诉讼。</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海事法院及其所在地的高级人民法院和最高人民法院审理海事案件的，适用本法。</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第二章 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海事诉讼的地域管辖，依照《中华人民共和国民事诉讼法》的有关规定。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下列海事诉讼的地域管辖，依照以下规定：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因海事侵权行为提起的诉讼，除依照《中华人民共和国民事诉讼法》第二十九条至第三十一条的规定以外，还可以由船籍港所在地海事法院管辖；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因海上运输合同纠纷提起的诉讼，除依照《中华人民共和国民事诉讼法》第二十八条的规定以外，还可以由转运港所在地海事法院管辖；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因海船租用合同纠纷提起的诉讼，由交船港、还船港、船籍港所在地、被告住所地海事法院管辖；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因海上保赔合同纠纷提起的诉讼，由保赔标的物所在地、事故发生地、被告住所地海事法院管辖；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因海船的船员劳务合同纠纷提起的诉讼，由原告住所地、合同签订地、船员登船港或者离船港所在地、被告住所地海事法院管辖；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（六） 因海事担保纠纷提起的诉讼，由担保物所在地、被告住所地海事法院管辖；因船舶抵押纠纷提起的诉讼，还可以由船籍港所在地海事法院管辖；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（七） 因海船的船舶所有权、占有权、使用权、优先权纠纷提起的诉讼，由船舶所在地、船籍港所在地、被告住所地海事法院管辖。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下列海事诉讼，由本条规定的海事法院专属管辖：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因沿海港口作业纠纷提起的诉讼，由港口所在地海事法院管辖；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因船舶排放、泄漏、倾倒油类或者其他有害物质，海上生产、作业或者拆船、修船作业造成海域污染损害提起的诉讼，由污染发生地、损害结果地或者采取预防污染措施地海事法院管辖；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因在中华人民共和国领域和有管辖权的海域履行的海洋勘探开发合同纠纷提起的诉讼，由合同履行地海事法院管辖。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纠纷的当事人都是外国人、无国籍人、外国企业或者组织，当事人书面协议选择中华人民共和国海事法院管辖的，即使与纠纷有实际联系的地点不在中华人民共和国领域内，中华人民共和国海事法院对该纠纷也具有管辖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当事人申请认定海上财产无主的，向财产所在地海事法院提出；申请因海上事故宣告死亡的，向处理海事事故主管机关所在地或者受理相关海事案件的海事法院提出。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海事法院与地方人民法院之间因管辖权发生争议，由争议双方协商解决；协商解决不了的，报请他们的共同上级人民法院指定管辖。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申请执行海事仲裁裁决，申请承认和执行外国法院判决、裁定以及国外海事仲裁裁决的，向被执行的财产所在地或者被执行人住所地海事法院提出。被执行的财产所在地或者被执行人住所地没有海事法院的，向被执行的财产所在地或者被执行人住所地的中级人民法院提出。</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第三章 海事请求保全</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第一节 一般规定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海事请求保全是指海事法院根据海事请求人的申请，为保障其海事请求的实现，对被请求人的财产所采取的强制措施。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当事人在起诉前申请海事请求保全，应当向被保全的财产所在地海事法院提出。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海事请求保全不受当事人之间关于该海事请求的诉讼管辖协议或者仲裁协议的约束。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海事请求人申请海事请求保全，应当向海事法院提交书面申请。申请书应当载明海事请求事项、申请理由、保全的标的物以及要求提供担保的数额，并附有关证据。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海事法院受理海事请求保全申请，可以责令海事请求人提供担保，海事请求人不提供的，驳回其申请。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海事法院接受申请后，应当在四十八小时内作出裁定。裁定采取海事请求保全措施的，应当立即执行；对不符合海事请求保全条件的，裁定驳回其申请。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当事人对裁定不服的，可以在收到裁定书之日起五日内申请复议一次。海事法院应当在收到复议申请之日起五日内作出复议决定。复议期间不停止裁定的执行。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利害关系人对海事请求保全提出异议，海事法院经审查，认为理由成立的，应当解除对其财产的保全。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被请求人提供担保，或者当事人有正当理由申请解除海事请求保全的，海事法院应当及时解除保全。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海事请求人在本法规定的期间内，未提起诉讼或者未按照仲裁协议申请仲裁的，海事法院应当及时解除保全或者返还担保。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保全执行后，有关海事纠纷未进入诉讼或者仲裁程序的，当事人就该海事请求，可以向采取海事请求保全的海事法院或者其他有管辖权的海事法院提起诉讼，但当事人之间订有诉讼管辖协议或者仲裁协议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海事请求人申请海事请求保全错误的，应当赔偿被请求人或者利害关系人因此所遭受的损失。</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船舶的扣押与拍卖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下列海事请求，可以申请扣押船舶：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船舶营运造成的财产灭失或者损坏；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与船舶营运直接有关的人身伤亡；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海难救助；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船舶对环境、海岸或者有关利益方造成的损害或者损害威胁；为预防、减少或者消除此种损害而采取的措施；为此种损害而支付的赔偿；为恢复环境而实际采取或者准备采取的合理措施的费用；第三方因此种损害而蒙受或者可能蒙受的损失；以及与本项所指的性质类似的损害、费用或者损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与起浮、清除、回收或者摧毁沉船、残骸、搁浅船、被弃船或者使其无害有关的费用，包括与起浮、清除、回收或者摧毁仍在或者曾在该船上的物件或者使其无害的费用，以及与维护放弃的船舶和维持其船员有关的费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（六） 船舶的使用或者租用的协议；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（七） 货物运输或者旅客运输的协议；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（八） 船载货物（包括行李）或者与其有关的灭失或者损坏；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（九） 共同海损；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（十） 拖航；</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（十一） 引航；</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（十二） 为船舶营运、管理、维护、维修提供物资或者服务；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（十三） 船舶的建造、改建、修理、改装或者装备；</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（十四） 港口、运河、码头、港湾以及其他水道规费和费用；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（十五） 船员的工资和其他款项，包括应当为船员支付的遣返费和社会保险费；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（十六） 为船舶或者船舶所有人支付的费用；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（十七） 船舶所有人或者光船承租人应当支付或者他人为其支付的船舶保险费（包括互保会费）；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（十八） 船舶所有人或者光船承租人应当支付的或者他人为其支付的与船舶有关的佣金、经纪费或者代理费；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（十九） 有关船舶所有权或者占有的纠纷；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（二十） 船舶共有人之间有关船舶的使用或者收益的纠纷；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（二十一） 船舶抵押权或者同样性质的权利；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（二十二） 因船舶买卖合同产生的纠纷。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非因本法第二十一条规定的海事请求不得申请扣押船舶，但为执行判决、仲裁裁决以及其他法律文书的除外。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有下列情形之一的，海事法院可以扣押当事船舶：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船舶所有人对海事请求负有责任，并且在实施扣押时是该船的所有人；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船舶的光船承租人对海事请求负有责任，并且在实施扣押时是该船的光船承租人或者所有人；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具有船舶抵押权或者同样性质的权利的海事请求；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有关船舶所有权或者占有的海事请求；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具有船舶优先权的海事请求。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海事法院可以扣押对海事请求负有责任的船舶所有人、光船承租人、定期租船人或者航次租船人在实施扣押时所有的其他船舶，但与船舶所有权或者占有有关的请求除外。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从事军事、政府公务的船舶不得被扣押。</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海事请求人不得因同一海事请求申请扣押已被扣押过的船舶，但有下列情形之一的除外：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被请求人未提供充分的担保；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担保人有可能不能全部或者部分履行担保义务；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海事请求人因合理的原因同意释放被扣押的船舶或者返还已提供的担保；或者不能通过合理措施阻止释放被扣押的船舶或者返还已提供的担保。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海事请求人申请扣押当事船舶，不能立即查明被请求人名称的，不影响申请的提出。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海事法院在发布或者解除扣押船舶命令的同时，可以向有关部门发出协助执行通知书，通知书应当载明协助执行的范围和内容，有关部门有义务协助执行。海事法院认为必要，可以直接派员登轮监护。</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海事法院裁定对船舶实施保全后，经海事请求人同意，可以采取限制船舶处分或者抵押等方式允许该船舶继续营运。</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海事请求保全扣押船舶的期限为三十日。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海事请求人在三十日内提起诉讼或者申请仲裁以及在诉讼或者仲裁过程中申请扣押船舶的，扣押船舶不受前款规定期限的限制。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船舶扣押期间届满，被请求人不提供担保，而且船舶不宜继续扣押的，海事请求人可以在提起诉讼或者申请仲裁后，向扣押船舶的海事法院申请拍卖船舶。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海事法院收到拍卖船舶的申请后，应当进行审查，作出准予或者不准予拍卖船舶的裁定。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当事人对裁定不服的，可以在收到裁定书之日起五日内申请复议一次。海事法院应当在收到复议申请之日起五日内作出复议决定。复议期间停止裁定的执行。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海事请求人提交拍卖船舶申请后，又申请终止拍卖的，是否准许由海事法院裁定。海事法院裁定终止拍卖船舶的，为准备拍卖船舶所发生的费用由海事请求人承担。</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海事法院裁定拍卖船舶，应当通过报纸或者其他新闻媒体发布公告。拍卖外籍船舶的，应当通过对外发行的报纸或者其他新闻媒体发布公告。</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公告包括以下内容：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被拍卖船舶的名称和国籍；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拍卖船舶的理由和依据；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拍卖船舶委员会的组成；</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拍卖船舶的时间和地点；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被拍卖船舶的展示时间和地点；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（六） 参加竞买应当办理的手续；</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（七） 办理债权登记事项；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（八） 需要公告的其他事项。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拍卖船舶的公告期间不少于三十日。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海事法院应当在拍卖船舶三十日前，向被拍卖船舶登记国的登记机关和已知的船舶优先权人、抵押权人和船舶所有人发出通知。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通知内容包括被拍卖船舶的名称、拍卖船舶的时间和地点、拍卖船舶的理由和依据以及债权登记等。</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通知方式包括书面方式和能够确认收悉的其他适当方式。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拍卖船舶由拍卖船舶委员会实施。拍卖船舶委员会由海事法院指定的本院执行人员和聘请的拍卖师、验船师三人或者五人组成。</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拍卖船舶委员会组织对船舶鉴定、估价；组织和主持拍卖；与竞买人签订拍卖成交确认书；办理船舶移交手续。</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拍卖船舶委员会对海事法院负责，受海事法院监督。</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竞买人应当在规定的期限内向拍卖船舶委员会登记。登记时应当交验本人、企业法定代表人或者其他组织负责人身份证明和委托代理人的授权委托书，并交纳一定数额的买船保证金。</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拍卖船舶委员会应当在拍卖船舶前，展示被拍卖船舶，并提供察看被拍卖船舶的条件和有关资料。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买受人在签署拍卖成交确认书后，应当立即交付不低于百分之二十的船舶价款，其余价款在成交之日起七日内付清，但拍卖船舶委员会与买受人另有约定的除外。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买受人付清全部价款后，原船舶所有人应当在指定的期限内于船舶停泊地以船舶现状向买受人移交船舶。拍卖船舶委员会组织和监督船舶的移交，并在船舶移交后与买受人签署船舶移交完毕确认书。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移交船舶完毕，海事法院发布解除扣押船舶命令。</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船舶移交后，海事法院应当通过报纸或者其他新闻媒体发布公告，公布船舶已经公开拍卖并移交给买受人。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买受人接收船舶后，应当持拍卖成交确认书和有关材料，向船舶登记机关办理船舶所有权登记手续。原船舶所有人应当向原船舶登记机关办理船舶所有权注销登记。原船舶所有人不办理船舶所有权注销登记的，不影响船舶所有权的转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竞买人之间恶意串通的，拍卖无效。参与恶意串通的竞买人应当承担拍卖船舶费用并赔偿有关损失。海事法院可以对参与恶意串通的竞买人处最高应价百分之十以上百分之三十以下的罚款。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除本节规定的以外，拍卖适用《中华人民共和国拍卖法》的有关规定。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执行程序中拍卖被扣押船舶清偿债务的，可以参照本节有关规定。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船载货物的扣押与拍卖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海事请求人为保障其海事请求的实现，可以申请扣押船载货物。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申请扣押的船载货物，应当属于被请求人所有。</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海事请求人申请扣押船载货物的价值，应当与其债权数额相当。</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海事请求保全扣押船载货物的期限为十五日。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海事请求人在十五日内提起诉讼或者申请仲裁以及在诉讼或者仲裁过程中申请扣押船载货物的，扣押船载货物不受前款规定期限的限制。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船载货物扣押期间届满，被请求人不提供担保，而且货物不宜继续扣押的，海事请求人可以在提起诉讼或者申请仲裁后，向扣押船载货物的海事法院申请拍卖货物。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对无法保管、不易保管或者保管费用可能超过其价值的物品，海事请求人可以申请提前拍卖。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海事法院收到拍卖船载货物的申请后，应当进行审查，在七日内作出准予或者不准予拍卖船载货物的裁定。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当事人对裁定不服的，可以在收到裁定书之日起五日内申请复议一次。海事法院应当在收到复议申请之日起五日内作出复议决定。复议期间停止裁定的执行。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拍卖船载货物由海事法院指定的本院执行人员和聘请的拍卖师组成的拍卖组织实施，或者由海事法院委托的机构实施。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拍卖船载货物，本节没有规定的，参照本章第二节拍卖船舶的有关规定。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海事请求人对与海事请求有关的船用燃油、船用物料申请海事请求保全，适用本节规定。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第四章 海事强制令</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海事强制令是指海事法院根据海事请求人的申请，为使其合法权益免受侵害，责令被请求人作为或者不作为的强制措施。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当事人在起诉前申请海事强制令，应当向海事纠纷发生地海事法院提出。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海事强制令不受当事人之间关于该海事请求的诉讼管辖协议或者仲裁协议的约束。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海事请求人申请海事强制令，应当向海事法院提交书面申请。申请书应当载明申请理由，并附有关证据。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海事法院受理海事强制令申请，可以责令海事请求人提供担保。海事请求人不提供的，驳回其申请。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作出海事强制令，应当具备下列条件：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请求人有具体的海事请求；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需要纠正被请求人违反法律规定或者合同约定的行为；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情况紧急，不立即作出海事强制令将造成损害或者使损害扩大。</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海事法院接受申请后，应当在四十八小时内作出裁定。裁定作出海事强制令的，应当立即执行；对不符合海事强制令条件的，裁定驳回其申请。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当事人对裁定不服的，可以在收到裁定书之日起五日内申请复议一次。海事法院应当在收到复议申请之日起五日内作出复议决定。复议期间不停止裁定的执行。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利害关系人对海事强制令提出异议，海事法院经审查，认为理由成立的，应当裁定撤销海事强制令。</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被请求人拒不执行海事强制令的，海事法院可以根据情节轻重处以罚款、拘留；构成犯罪的，依法追究刑事责任。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对个人的罚款金额，为一千元以上三万元以下。对单位的罚款金额，为三万元以上十万元以下。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拘留的期限，为十五日以下。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海事请求人申请海事强制令错误的，应当赔偿被请求人或者利害关系人因此所遭受的损失。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强制令执行后，有关海事纠纷未进入诉讼或者仲裁程序的，当事人就该海事请求，可以向作出海事强制令的海事法院或者其他有管辖权的海事法院提起诉讼，但当事人之间订有诉讼管辖协议或者仲裁协议的除外。</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第五章 海事证据保全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海事证据保全是指海事法院根据海事请求人的申请，对有关海事请求的证据予以提取、保存或者封存的强制措施。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当事人在起诉前申请海事证据保全，应当向被保全的证据所在地海事法院提出。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海事证据保全不受当事人之间关于该海事请求的诉讼管辖协议或者仲裁协议的约束。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海事请求人申请海事证据保全，应当向海事法院提交书面申请。申请书应当载明请求保全的证据、该证据与海事请求的联系、申请理由。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海事法院受理海事证据保全申请，可以责令海事请求人提供担保。海事请求人不提供的，驳回其申请。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采取海事证据保全，应当具备下列条件：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请求人是海事请求的当事人；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请求保全的证据对该海事请求具有证明作用；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被请求人是与请求保全的证据有关的人；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情况紧急，不立即采取证据保全就会使该海事请求的证据灭失或者难以取得。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海事法院接受申请后，应当在四十八小时内作出裁定。裁定采取海事证据保全措施的，应当立即执行；对不符合海事证据保全条件的，裁定驳回其申请。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对裁定不服的，可以在收到裁定书之日起五日内申请复议一次。海事法院应当在收到复议申请之日起五日内作出复议决定。复议期间不停止裁定的执行。被请求人申请复议的理由成立的，应当将保全的证据返还被请求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利害关系人对海事证据保全提出异议，海事法院经审查，认为理由成立的，应当裁定撤销海事证据保全；已经执行的，应当将与利害关系人有关的证据返还利害关系人。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海事法院进行海事证据保全，根据具体情况，可以对证据予以封存，也可以提取复制件、副本，或者进行拍照、录相，制作节录本、调查笔录等。确有必要的，也可以提取证据原件。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海事请求人申请海事证据保全错误的，应当赔偿被请求人或者利害关系人因此所遭受的损失。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海事证据保全后，有关海事纠纷未进入诉讼或者仲裁程序的，当事人就该海事请求，可以向采取证据保全的海事法院或者其他有管辖权的海事法院提起诉讼，但当事人之间订有诉讼管辖协议或者仲裁协议的除外。</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第六章 海事担保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海事担保包括本法规定的海事请求保全、海事强制令、海事证据保全等程序中所涉及的担保。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担保的方式为提供现金或者保证、设置抵押或者质押。</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海事请求人的担保应当提交给海事法院；被请求人的担保可以提交给海事法院，也可以提供给海事请求人。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海事请求人提供的担保，其方式、数额由海事法院决定。被请求人提供的担保，其方式、数额由海事请求人和被请求人协商；协商不成的，由海事法院决定。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海事请求人要求被请求人就海事请求保全提供担保的数额，应当与其债权数额相当，但不得超过被保全的财产价值。</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海事请求人提供担保的数额，应当相当于因其申请可能给被请求人造成的损失。具体数额由海事法院决定。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担保提供后，提供担保的人有正当理由的，可以向海事法院申请减少、变更或者取消该担保。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海事请求人请求担保的数额过高，造成被请求人损失的，应当承担赔偿责任。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设立海事赔偿责任限制基金和先予执行等程序所涉及的担保，可以参照本章规定。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第七章 送达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海事诉讼法律文书的送达，适用《中华人民共和国民事诉讼法》的有关规定，还可以采用下列方式：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向受送达人委托的诉讼代理人送达；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向受送达人在中华人民共和国领域内设立的代表机构、分支机构或者业务代办人送达；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通过能够确认收悉的其他适当方式送达。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有关扣押船舶的法律文书也可以向当事船舶的船长送达。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有义务接受法律文书的人拒绝签收，送达人在送达回证上记明情况，经送达人、见证人签名或者盖章，将法律文书留在其住所或者办公处所的，视为送达。</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第八章 审判程序</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第一节 审理船舶碰撞案件的规定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原告在起诉时、被告在答辩时，应当如实填写《海事事故调查表》。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海事法院向当事人送达起诉状或者答辩状时，不附送有关证据材料。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当事人应当在开庭审理前完成举证。当事人完成举证并向海事法院出具完成举证说明书后，可以申请查阅有关船舶碰撞的事实证据材料。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当事人不能推翻其在《海事事故调查表》中的陈述和已经完成的举证，但有新的证据，并有充分的理由说明该证据不能在举证期间内提交的除外。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船舶检验、估价应当由国家授权或者其他具有专业资格的机构或者个人承担。非经国家授权或者未取得专业资格的机构或者个人所作的检验或者估价结论，海事法院不予采纳。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海事法院审理船舶碰撞案件，应当在立案后一年内审结。有特殊情况需要延长的，由本院院长批准。</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审理共同海损案件的规定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当事人就共同海损的纠纷，可以协议委托理算机构理算，也可以直接向海事法院提起诉讼。海事法院受理未经理算的共同海损纠纷，可以委托理算机构理算。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理算机构作出的共同海损理算报告，当事人没有提出异议的，可以作为分摊责任的依据；当事人提出异议的，由海事法院决定是否采纳。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当事人可以不受因同一海损事故提起的共同海损诉讼程序的影响，就非共同海损损失向责任人提起诉讼。</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当事人就同一海损事故向受理共同海损案件的海事法院提起非共同海损的诉讼，以及对共同海损分摊向责任人提起追偿诉讼的，海事法院可以合并审理。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海事法院审理共同海损案件，应当在立案后一年内审结。有特殊情况需要延长的，由本院院长批准。</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海上保险人行使代位请求赔偿权利的规定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因第三人造成保险事故，保险人向被保险人支付保险赔偿后，在保险赔偿范围内可以代位行使被保险人对第三人请求赔偿的权利。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保险人行使代位请求赔偿权利时，被保险人未向造成保险事故的第三人提起诉讼的，保险人应当以自己的名义向该第三人提起诉讼。</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保险人行使代位请求赔偿权利时，被保险人已经向造成保险事故的第三人提起诉讼的，保险人可以向受理该案的法院提出变更当事人的请求，代位行使被保险人对第三人请求赔偿的权利。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被保险人取得的保险赔偿不能弥补第三人造成的全部损失的，保险人和被保险人可以作为共同原告向第三人请求赔偿。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保险人依照本法第九十四条、第九十五条的规定提起诉讼或者申请参加诉讼的，应当向受理该案的海事法院提交保险人支付保险赔偿的凭证，以及参加诉讼应当提交的其他文件。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对船舶造成油污损害的赔偿请求，受损害人可以向造成油污损害的船舶所有人提出，也可以直接向承担船舶所有人油污损害责任的保险人或者提供财务保证的其他人提出。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油污损害责任的保险人或者提供财务保证的其他人被起诉的，有权要求造成油污损害的船舶所有人参加诉讼。</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第四节 简易程序、督促程序和公示催告程序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海事法院审理事实清楚、权利义务关系明确、争议不大的简单的海事案件，可以适用《中华人民共和国民事诉讼法》简易程序的规定。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债权人基于海事事由请求债务人给付金钱或者有价证券，符合《中华人民共和国民事诉讼法》有关规定的，可以向有管辖权的海事法院申请支付令。</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债务人是外国人、无国籍人、外国企业或者组织，但在中华人民共和国领域内有住所、代表机构或者分支机构并能够送达支付令的，债权人可以向有管辖权的海事法院申请支付令。</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提单等提货凭证持有人，因提货凭证失控或者灭失，可以向货物所在地海事法院申请公示催告。</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第九章 设立海事赔偿责任限制基金程序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船舶所有人、承租人、经营人、救助人、保险人在发生海事事故后，依法申请责任限制的，可以向海事法院申请设立海事赔偿责任限制基金。</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船舶造成油污损害的，船舶所有人及其责任保险人或者提供财务保证的其他人为取得法律规定的责任限制的权利，应当向海事法院设立油污损害的海事赔偿责任限制基金。</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设立责任限制基金的申请可以在起诉前或者诉讼中提出，但最迟应当在一审判决作出前提出。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当事人在起诉前申请设立海事赔偿责任限制基金的，应当向事故发生地、合同履行地或者船舶扣押地海事法院提出。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设立海事赔偿责任限制基金，不受当事人之间关于诉讼管辖协议或者仲裁协议的约束。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申请人向海事法院申请设立海事赔偿责任限制基金，应当提交书面申请。申请书应当载明申请设立海事赔偿责任限制基金的数额、理由，以及已知的利害关系人的名称、地址和通讯方法，并附有关证据。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海事法院受理设立海事赔偿责任限制基金申请后，应当在七日内向已知的利害关系人发出通知，同时通过报纸或者其他新闻媒体发布公告。</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通知和公告包括下列内容：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申请人的名称；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申请的事实和理由；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设立海事赔偿责任限制基金事项；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办理债权登记事项；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需要告知的其他事项。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利害关系人对申请人申请设立海事赔偿责任限制基金有异议的，应当在收到通知之日起七日内或者未收到通知的在公告之日起三十日内，以书面形式向海事法院提出。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海事法院收到利害关系人提出的书面异议后，应当进行审查，在十五日内作出裁定。异议成立的，裁定驳回申请人的申请；异议不成立的，裁定准予申请人设立海事赔偿责任限制基金。</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当事人对裁定不服的，可以在收到裁定书之日起七日内提起上诉。第二审人民法院应当在收到上诉状之日起十五日内作出裁定。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利害关系人在规定的期间内没有提出异议的，海事法院裁定准予申请人设立海事赔偿责任限制基金。</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准予申请人设立海事赔偿责任限制基金的裁定生效后，申请人应当在海事法院设立海事赔偿责任限制基金。</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设立海事赔偿责任限制基金可以提供现金，也可以提供经海事法院认可的担保。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海事赔偿责任限制基金的数额，为海事赔偿责任限额和自事故发生之日起至基金设立之日止的利息。以担保方式设立基金的，担保数额为基金数额及其在基金设立期间的利息。</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以现金设立基金的，基金到达海事法院指定帐户之日为基金设立之日。以担保设立基金的，海事法院接受担保之日为基金设立之日。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设立海事赔偿责任限制基金以后，当事人就有关海事纠纷应当向设立海事赔偿责任限制基金的海事法院提起诉讼，但当事人之间订有诉讼管辖协议或者仲裁协议的除外。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申请人申请设立海事赔偿责任限制基金错误的，应当赔偿利害关系人因此所遭受的损失。</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第十章 债权登记与受偿程序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海事法院裁定强制拍卖船舶的公告发布后，债权人应当在公告期间，就与被拍卖船舶有关的债权申请登记。公告期间届满不登记的，视为放弃在本次拍卖船舶价款中受偿的权利。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海事法院受理设立海事赔偿责任限制基金的公告发布后，债权人应当在公告期间就与特定场合发生的海事事故有关的债权申请登记。公告期间届满不登记的，视为放弃债权。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债权人向海事法院申请登记债权的，应当提交书面申请，并提供有关债权证据。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债权证据，包括证明债权的具有法律效力的判决书、裁定书、调解书、仲裁裁决书和公证债权文书，以及其他证明具有海事请求的证据材料。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海事法院应当对债权人的申请进行审查，对提供债权证据的，裁定准予登记；对不提供债权证据的，裁定驳回申请。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债权人提供证明债权的判决书、裁定书、调解书、仲裁裁决书或者公证债权文书的，海事法院经审查认定上述文书真实合法的，裁定予以确认。</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债权人提供其他海事请求证据的，应当在办理债权登记以后，在受理债权登记的海事法院提起确权诉讼。当事人之间有仲裁协议的，应当及时申请仲裁。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海事法院对确权诉讼作出的判决、裁定具有法律效力，当事人不得提起上诉。</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海事法院审理并确认债权后，应当向债权人发出债权人会议通知书，组织召开债权人会议。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债权人会议可以协商提出船舶价款或者海事赔偿责任限制基金的分配方案，签订受偿协议。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受偿协议经海事法院裁定认可，具有法律效力。</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债权人会议协商不成的，由海事法院依照《中华人民共和国海商法》以及其他有关法律规定的受偿顺序，裁定船舶价款或者海事赔偿责任限制基金的分配方案。</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拍卖船舶所得价款及其利息，或者海事赔偿责任限制基金及其利息，应当一并予以分配。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分配船舶价款时，应当由责任人承担的诉讼费用，为保存、拍卖船舶和分配船舶价款产生的费用，以及为债权人的共同利益支付的其他费用，应当从船舶价款中先行拨付。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清偿债务后的余款，应当退还船舶原所有人或者海事赔偿责任限制基金设立人。</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第十一章 船舶优先权催告程序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船舶转让时，受让人可以向海事法院申请船舶优先权催告，催促船舶优先权人及时主张权利，消灭该船舶附有的船舶优先权。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受让人申请船舶优先权催告的，应当向转让船舶交付地或者受让人住所地海事法院提出。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申请船舶优先权催告，应当向海事法院提交申请书、船舶转让合同、船舶技术资料等文件。申请书应当载明船舶的名称、申请船舶优先权催告的事实和理由。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海事法院在收到申请书以及有关文件后，应当进行审查，在七日内作出准予或者不准予申请的裁定。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受让人对裁定不服的，可以申请复议一次。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海事法院在准予申请的裁定生效后，应当通过报纸或者其他新闻媒体发布公告，催促船舶优先权人在催告期间主张船舶优先权。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船舶优先权催告期间为六十日。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船舶优先权催告期间，船舶优先权人主张权利的，应当在海事法院办理登记；不主张权利的，视为放弃船舶优先权。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船舶优先权催告期间届满，无人主张船舶优先权的，海事法院应当根据当事人的申请作出判决，宣告该转让船舶不附有船舶优先权。判决内容应当公告。</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第十二章 附则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本法自２０００年７月１日起施行。</w:t>
      </w:r>
    </w:p>
    <w:p>
      <w:pPr>
        <w:jc w:val="center"/>
        <w:textAlignment w:val="center"/>
        <w:rPr>
          <w:rFonts w:hint="eastAsia" w:ascii="宋体" w:hAnsi="宋体" w:eastAsia="宋体" w:cs="宋体"/>
          <w:color w:val="auto"/>
        </w:rPr>
      </w:pPr>
    </w:p>
    <w:p>
      <w:pPr>
        <w:rPr>
          <w:rFonts w:hint="eastAsia" w:ascii="宋体" w:hAnsi="宋体" w:eastAsia="宋体" w:cs="宋体"/>
          <w:color w:val="auto"/>
        </w:rPr>
      </w:pPr>
      <w:r>
        <w:rPr>
          <w:rFonts w:hint="eastAsia" w:ascii="宋体" w:hAnsi="宋体" w:eastAsia="宋体" w:cs="宋体"/>
          <w:color w:val="auto"/>
        </w:rPr>
        <w:br w:type="page"/>
      </w:r>
    </w:p>
    <w:p>
      <w:pPr>
        <w:jc w:val="center"/>
        <w:textAlignment w:val="center"/>
        <w:rPr>
          <w:rFonts w:hint="eastAsia" w:ascii="宋体" w:hAnsi="宋体" w:eastAsia="宋体" w:cs="宋体"/>
          <w:color w:val="auto"/>
        </w:rPr>
      </w:pPr>
      <w:r>
        <w:rPr>
          <w:rFonts w:hint="eastAsia" w:ascii="宋体" w:hAnsi="宋体" w:eastAsia="宋体" w:cs="宋体"/>
          <w:color w:val="auto"/>
        </w:rPr>
        <w:drawing>
          <wp:inline distT="0" distB="0" distL="0" distR="0">
            <wp:extent cx="2540000" cy="2540000"/>
            <wp:effectExtent l="0" t="0" r="12700" b="12700"/>
            <wp:docPr id="1" name="Drawing 0" descr="无讼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0" descr="无讼logo"/>
                    <pic:cNvPicPr>
                      <a:picLocks noChangeAspect="1"/>
                    </pic:cNvPicPr>
                  </pic:nvPicPr>
                  <pic:blipFill>
                    <a:blip r:embed="rId7"/>
                    <a:stretch>
                      <a:fillRect/>
                    </a:stretch>
                  </pic:blipFill>
                  <pic:spPr>
                    <a:xfrm>
                      <a:off x="0" y="0"/>
                      <a:ext cx="2540000" cy="2540000"/>
                    </a:xfrm>
                    <a:prstGeom prst="rect">
                      <a:avLst/>
                    </a:prstGeom>
                  </pic:spPr>
                </pic:pic>
              </a:graphicData>
            </a:graphic>
          </wp:inline>
        </w:drawing>
      </w:r>
    </w:p>
    <w:p>
      <w:pPr>
        <w:ind w:firstLine="0"/>
        <w:jc w:val="center"/>
        <w:textAlignment w:val="center"/>
        <w:rPr>
          <w:rFonts w:hint="eastAsia" w:ascii="宋体" w:hAnsi="宋体" w:eastAsia="宋体" w:cs="宋体"/>
          <w:color w:val="auto"/>
        </w:rPr>
      </w:pPr>
      <w:r>
        <w:rPr>
          <w:rFonts w:hint="eastAsia" w:ascii="宋体" w:hAnsi="宋体" w:eastAsia="宋体" w:cs="宋体"/>
          <w:b/>
          <w:i w:val="0"/>
          <w:color w:val="auto"/>
          <w:sz w:val="36"/>
        </w:rPr>
        <w:t>在线查看此法律法规</w:t>
      </w:r>
    </w:p>
    <w:bookmarkEnd w:id="0"/>
    <w:sectPr>
      <w:footerReference r:id="rId5" w:type="default"/>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Microsoft YaHei UI">
    <w:panose1 w:val="020B0503020204020204"/>
    <w:charset w:val="50"/>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3"/>
      <w:ind w:right="360"/>
    </w:pPr>
    <w:r>
      <mc:AlternateContent>
        <mc:Choice Requires="wps">
          <w:drawing>
            <wp:anchor distT="0" distB="0" distL="114300" distR="114300" simplePos="0" relativeHeight="251667456" behindDoc="1" locked="0" layoutInCell="1" allowOverlap="1">
              <wp:simplePos x="0" y="0"/>
              <wp:positionH relativeFrom="page">
                <wp:posOffset>289560</wp:posOffset>
              </wp:positionH>
              <wp:positionV relativeFrom="paragraph">
                <wp:posOffset>-142240</wp:posOffset>
              </wp:positionV>
              <wp:extent cx="6976745" cy="0"/>
              <wp:effectExtent l="0" t="0" r="0" b="0"/>
              <wp:wrapThrough wrapText="bothSides">
                <wp:wrapPolygon>
                  <wp:start x="0" y="0"/>
                  <wp:lineTo x="0" y="21600"/>
                  <wp:lineTo x="21600" y="21600"/>
                  <wp:lineTo x="21600" y="0"/>
                  <wp:lineTo x="0" y="0"/>
                </wp:wrapPolygon>
              </wp:wrapThrough>
              <wp:docPr id="2" name="直线连接符 16"/>
              <wp:cNvGraphicFramePr/>
              <a:graphic xmlns:a="http://schemas.openxmlformats.org/drawingml/2006/main">
                <a:graphicData uri="http://schemas.microsoft.com/office/word/2010/wordprocessingShape">
                  <wps:wsp>
                    <wps:cNvCnPr/>
                    <wps:spPr>
                      <a:xfrm>
                        <a:off x="0" y="0"/>
                        <a:ext cx="6976745" cy="0"/>
                      </a:xfrm>
                      <a:prstGeom prst="line">
                        <a:avLst/>
                      </a:prstGeom>
                      <a:noFill/>
                      <a:ln w="12700" cap="flat" cmpd="sng" algn="ctr">
                        <a:solidFill>
                          <a:srgbClr val="156893"/>
                        </a:solidFill>
                        <a:prstDash val="solid"/>
                      </a:ln>
                      <a:effectLst/>
                    </wps:spPr>
                    <wps:bodyPr/>
                  </wps:wsp>
                </a:graphicData>
              </a:graphic>
            </wp:anchor>
          </w:drawing>
        </mc:Choice>
        <mc:Fallback>
          <w:pict>
            <v:line id="直线连接符 16" o:spid="_x0000_s1026" o:spt="20" style="position:absolute;left:0pt;margin-left:22.8pt;margin-top:-11.2pt;height:0pt;width:549.35pt;mso-position-horizontal-relative:page;mso-wrap-distance-left:9pt;mso-wrap-distance-right:9pt;z-index:-251649024;mso-width-relative:page;mso-height-relative:page;" filled="f" stroked="t" coordsize="21600,21600" o:gfxdata="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Kz2A12gAAAAsBAAAPAAAAAAAAAAEAIAAAACIAAABk&#10;cnMvZG93bnJldi54bWxQSwECFAAUAAAACACHTuJA8/1z9csBAABcAwAADgAAAAAAAAABACAAAAAp&#10;AQAAZHJzL2Uyb0RvYy54bWxQSwUGAAAAAAYABgBZAQAAZgUAAAAA&#10;">
              <v:fill on="f" focussize="0,0"/>
              <v:stroke weight="1pt" color="#156893" joinstyle="round"/>
              <v:imagedata o:title=""/>
              <o:lock v:ext="edit" aspectratio="f"/>
              <w10:wrap type="through"/>
            </v:line>
          </w:pict>
        </mc:Fallback>
      </mc:AlternateContent>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6027695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rFonts w:ascii="Heiti SC Light" w:eastAsia="Heiti SC Light"/>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qFormat/>
    <w:uiPriority w:val="99"/>
  </w:style>
  <w:style w:type="character" w:customStyle="1" w:styleId="8">
    <w:name w:val="页眉字符"/>
    <w:basedOn w:val="5"/>
    <w:link w:val="4"/>
    <w:uiPriority w:val="99"/>
    <w:rPr>
      <w:sz w:val="18"/>
      <w:szCs w:val="18"/>
    </w:rPr>
  </w:style>
  <w:style w:type="character" w:customStyle="1" w:styleId="9">
    <w:name w:val="页脚字符"/>
    <w:basedOn w:val="5"/>
    <w:link w:val="3"/>
    <w:qFormat/>
    <w:uiPriority w:val="99"/>
    <w:rPr>
      <w:sz w:val="18"/>
      <w:szCs w:val="18"/>
    </w:rPr>
  </w:style>
  <w:style w:type="character" w:customStyle="1" w:styleId="10">
    <w:name w:val="批注框文本字符"/>
    <w:basedOn w:val="5"/>
    <w:link w:val="2"/>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2018-01-31T07:55:52Z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