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bookmarkStart w:id="0" w:name="_GoBack"/>
      <w:r>
        <w:rPr>
          <w:rFonts w:hint="eastAsia" w:ascii="宋体" w:hAnsi="宋体" w:eastAsia="宋体" w:cs="宋体"/>
          <w:b/>
          <w:i w:val="0"/>
          <w:color w:val="auto"/>
          <w:sz w:val="36"/>
        </w:rPr>
        <w:t>中华人民共和国海上交通安全法（2016）</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2016-11-07</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实施日期：</w:t>
      </w:r>
      <w:r>
        <w:rPr>
          <w:rFonts w:hint="eastAsia" w:ascii="宋体" w:hAnsi="宋体" w:eastAsia="宋体" w:cs="宋体"/>
          <w:b w:val="0"/>
          <w:i w:val="0"/>
          <w:color w:val="auto"/>
          <w:sz w:val="26"/>
        </w:rPr>
        <w:t>2016-11-07</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时效性：</w:t>
      </w:r>
      <w:r>
        <w:rPr>
          <w:rFonts w:hint="eastAsia" w:ascii="宋体" w:hAnsi="宋体" w:eastAsia="宋体" w:cs="宋体"/>
          <w:b w:val="0"/>
          <w:i w:val="0"/>
          <w:color w:val="auto"/>
          <w:sz w:val="26"/>
        </w:rPr>
        <w:t>现行有效</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历史修订版本：</w:t>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"https://www.itslaw.com/search/lawsAndRegulations/lawAndRegulation?searchMode=lawsAndRegulations&amp;lawAndRegulationId=db7a9d54-4d20-41a6-ba0f-2cf817b3d621"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中华人民共和国海上交通安全法（1983）[1983-09-02]</w:t>
      </w:r>
      <w:r>
        <w:rPr>
          <w:rFonts w:hint="eastAsia" w:ascii="宋体" w:hAnsi="宋体" w:eastAsia="宋体" w:cs="宋体"/>
          <w:b w:val="0"/>
          <w:i w:val="0"/>
          <w:color w:val="auto"/>
          <w:sz w:val="26"/>
          <w:u w:val="single"/>
        </w:rPr>
        <w:fldChar w:fldCharType="end"/>
      </w:r>
    </w:p>
    <w:p>
      <w:pPr>
        <w:ind w:firstLine="0"/>
        <w:jc w:val="center"/>
        <w:textAlignment w:val="center"/>
        <w:rPr>
          <w:rFonts w:hint="eastAsia" w:ascii="宋体" w:hAnsi="宋体" w:eastAsia="宋体" w:cs="宋体"/>
          <w:color w:val="auto"/>
        </w:rPr>
      </w:pPr>
      <w:r>
        <w:rPr>
          <w:rFonts w:hint="eastAsia" w:ascii="宋体" w:hAnsi="宋体" w:eastAsia="宋体" w:cs="宋体"/>
          <w:b w:val="0"/>
          <w:i w:val="0"/>
          <w:color w:val="auto"/>
          <w:sz w:val="26"/>
        </w:rPr>
        <w:t>（一九八三年九月二日第六届全国人民代表大会常务委员会第二次会议通过，一九八三年九月二日中华人民共和国主席令第七号公布根据2016年11月7日主席令第57号《全国人大常委会关于修改＜中华人民共和国对外贸易法＞等十二部法律的决定》修改）</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目录</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船舶检验和登记</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船舶、设施上的人员</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航行、停泊和作业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安全保障</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危险货物运输</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海难救助</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打捞清除</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交通事故的调查处理</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法律责任</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特别规定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附则</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为加强海上交通管理，保障船舶、设施和人命财产的安全，维护国家权益，特制定本法。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本法适用于在中华人民共和国沿海水域航行、停泊和作业的一切船舶、设施和人员以及船舶、设施的所有人、经营人。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中华人民共和国港务监督机构，是对沿海水域的交通安全实施统一监督管理的主管机关。</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船舶检验和登记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船舶和船上有关航行安全的重要设备必须具有船舶检验部门签发的有效技术证书。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船舶必须持有船舶国籍证书，或船舶登记证书，或船舶执照。</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船舶、设施上的人员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船舶应当按照标准定额配备足以保证船舶安全的合格船员。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船长、轮机长、驾驶员、轮机员、无线电报务员、话务员以及水上飞机、潜水器的相应人员，必须持有合格的职务证书。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其他船员必须经过相应的专业技术训练。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设施应当按照国家规定，配备掌握避碰、信号、通信、消防、救生等专业技能的人员。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船舶、设施上的人员必须遵守有关海上交通安全的规章制度和操作规程，保障船舶、设施航行、停泊和作业的安全。</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航行、停泊和作业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船舶、设施航行、停泊和作业，必须遵守中华人民共和国的有关法律、行政法规和规章。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外国籍非军用船舶，未经主管机关批准，不得进入中华人民共和国的内水和港口。但是，因人员病急、机件故障、遇难、避风等意外情况，未及获得批准，可以在进入的同时向主管机关紧急报告，并听从指挥。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外国籍军用船舶，未经中华人民共和国政府批准，不得进入中华人民共和国领海。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国际航行船舶进出中华人民共和国港口，必须接受主管机关的检查。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本国籍国内航行船舶进出港口，必须向主管机关报告船舶的航次计划、适航状态、船员配备和载货载客等情况。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外国籍船舶进出中华人民共和国港口或者在港内航行、移泊以及靠离港外系泊点、装卸站等，必须由主管机关指派引航员引航。</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船舶进出港口或者通过交通管制区、通航密集区和航行条件受到限制的区域时，必须遵守中华人民共和国政府或主管机关公布的特别规定。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除经主管机关特别许可外，禁止船舶进入或穿越禁航区。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大型设施和移动式平台的海上拖带，必须经船舶检验部门进行拖航检验，并报主管机关核准。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主管机关发现船舶的实际状况同证书所载不相符合时，有权责成其申请重新检验或者通知其所有人、经营人采取有效的安全措施。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主管机关认为船舶对港口安全具有威胁时，有权禁止其进港或令其离港。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船舶、设施有下列情况之一的，主管机关有权禁止其离港，或令其停航、改航、停止作业：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违反中华人民共和国有关的法律、行政法规或规章；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处于不适航或不适拖状态；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发生交通事故，手续未清；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未向主管机关或有关部门交付应承担的费用，也未提供适当的担保；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主管机关认为有其他妨害或者可能妨害海上交通安全的情况。</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安全保障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在沿海水域进行水上水下施工以及划定相应的安全作业区，必须报经主管机关核准公告。无关的船舶不得进入安全作业区。施工单位不得擅自扩大安全作业区的范围。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在港区内使用岸线或者进行水上水下施工包括架空施工，还必须附图报经主管机关审核同意。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在沿海水域划定禁航区，必须经国务院或主管机关批准。但是，为军事需要划定禁航区，可以由国家军事主管部门批准。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禁航区由主管机关公布。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未经主管机关批准，不得在港区、锚地、航道、通航密集区以及主管机关公布的航路内设置、构筑设施或者进行其他有碍航行安全的活动。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对在上述区域内擅自设置、构筑的设施，主管机关有权责令其所有人限期搬迁或拆除。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禁止损坏助航标志和导航设施。损坏助航标志或导航设施的，应当立即向主管机关报告，并承担赔偿责任。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船舶、设施发现下列情况，应当迅速报告主管机关：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助航标志或导航设施变异、失常；</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有妨碍航行安全的障碍物、漂流物；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其他有碍航行安全的异常情况。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航标周围不得建造或设置影响其工作效能的障碍物。航标和航道附近有碍航行安全的灯光，应当妥善遮蔽。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施的搬迁、拆除，沉船沉物的打捞清除，水下工程的善后处理，都不得遗留有碍航行和作业安全的隐患。在未妥善处理前，其所有人或经营人必须负责设置规定的标志，并将碍航物的名称、形状、尺寸、位置和深度准确地报告主管机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港口码头、港外系泊点、装卸站和船闸，应当加强安全管理，保持良好状态。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主管机关根据海上交通安全的需要，确定、调整交通管制区和港口锚地。港外锚地的划定，由主管机关报上级机关批准后公告。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主管机关按照国家规定，负责统一发布航行警告和航行通告。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为保障航行、停泊和作业的安全，有关部门应当保持通信联络畅通，保持助航标志、导航设施明显有效，及时提供海洋气象预报和必要的航海图书资料。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船舶、设施发生事故，对交通安全造成或者可能造成危害时，主管机关有权采取必要的强制性处置措施。</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危险货物运输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船舶、设施储存、装卸、运输危险货物，必须具备安全可靠的设备和条件，遵守国家关于危险货物管理和运输的规定。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船舶装运危险货物，必须向主管机关办理申报手续，经批准后，方可进出港口或装卸。</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海难救助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船舶、设施或飞机遇难时，除发出呼救信号外，还应当以最迅速的方式将出事时间、地点、受损情况、救助要求以及发生事故的原因，向主管机关报告。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遇难船舶、设施或飞机及其所有人、经营人应当采取一切有效措施组织自救。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事故现场附近的船舶、设施，收到求救信号或发现有人遭遇生命危险时，在不严重危及自身安全的情况下，应当尽力救助遇难人员，并迅速向主管机关报告现场情况和本船舶、设施的名称、呼号和位置。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发生碰撞事故的船舶、设施，应当互通名称、国籍和登记港，并尽一切可能救助遇难人员。在不严重危及自身安全的情况下，当事船舶不得擅自离开事故现场。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主管机关接到求救报告后，应当立即组织救助。有关单位和在事故现场附近的船舶、设施，必须听从主管机关的统一指挥。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外国派遣船舶或飞机进入中华人民共和国领海或领海上空搜寻救助遇难的船舶或人员，必须经主管机关批准。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打捞清除</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影响安全航行、航道整治以及有潜在爆炸危险的沉没物、漂浮物，其所有人、经营人应当在主管机关限定的时间内打捞清除。否则，主管机关有权采取措施强制打捞清除，其全部费用由沉没物、漂浮物的所有人、经营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本条规定不影响沉没物、漂浮物的所有人、经营人向第三方索赔权利。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未经主管机关批准，不得擅自打捞或拆除沿海水域内的沉船沉物。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交通事故的调查处理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船舶、设施发生交通事故，应当向主管机关递交事故报告书和有关资料，并接受调查处理。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事故的当事人和有关人员，在接受主管机关调查时，必须如实提供现场情况和与事故有关的情节。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船舶、设施发生的交通事故，由主管机关查明原因，判明责任。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法律责任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对违反本法的，主管机关可视情节，给予下列一种或几种处罚：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警告；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扣留或吊销职务证书；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当事人对主管机关给予的罚款、吊销职务证书处罚不服的，可以在接到处罚通知之日起十五天内，向人民法院起诉；期满不起诉又不履行的，由主管机关申请人民法院强制执行。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因海上交通事故引起的民事纠纷，可以由主管机关调解处理，不愿意调解或调解不成的，当事人可以向人民法院起诉；涉外案件的当事人，还可以根据书面协议提交仲裁机构仲裁。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对违反本法构成犯罪的人员，由司法机关依法追究刑事责任。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国家渔政渔港监督管理机构，在以渔业为主的渔港水域内，行使本法规定的主管机关的职权，负责交通安全的监督管理，并负责沿海水域渔业船舶之间的交通事故的调查处理。具体实施办法由国务院另行规定。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海上军事管辖区和军用船舶、设施的内部管理，为军事目的进行水上水下作业的管理，以及公安船舶的检验登记、人员配备、进出港签证，由国家有关主管部门依据本法另行规定。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本法下列用语的含义是：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“沿海水域”是指中华人民共和国沿海的港口、内水和领海以及国家管辖的一切其他海域。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“船舶”是指各类排水或非排水船、筏、水上飞机、潜水器和移动式平台。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“设施”是指水上水下各种固定或浮动建筑、装置和固定平台。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“作业”是指在沿海水域调查、勘探、开采、测量、建筑、疏浚、爆破、救助、打捞、拖带、捕捞、养殖、装卸、科学试验和其他水上水下施工。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国务院主管部门依据本法，制定实施细则，报国务院批准施行。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过去颁布的海上交通安会法规与本法相抵触的，以本法为准。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本法自一九八四年一月一日起施行。</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r>
        <w:rPr>
          <w:rFonts w:hint="eastAsia" w:ascii="宋体" w:hAnsi="宋体" w:eastAsia="宋体" w:cs="宋体"/>
          <w:color w:val="auto"/>
        </w:rPr>
        <w:br w:type="page"/>
      </w:r>
    </w:p>
    <w:p>
      <w:pPr>
        <w:jc w:val="center"/>
        <w:textAlignment w:val="center"/>
        <w:rPr>
          <w:rFonts w:hint="eastAsia" w:ascii="宋体" w:hAnsi="宋体" w:eastAsia="宋体" w:cs="宋体"/>
          <w:color w:val="auto"/>
        </w:rPr>
      </w:pPr>
      <w:r>
        <w:rPr>
          <w:rFonts w:hint="eastAsia" w:ascii="宋体" w:hAnsi="宋体" w:eastAsia="宋体" w:cs="宋体"/>
          <w:color w:val="auto"/>
        </w:rPr>
        <w:drawing>
          <wp:inline distT="0" distB="0" distL="0" distR="0">
            <wp:extent cx="2540000" cy="2540000"/>
            <wp:effectExtent l="0" t="0" r="12700" b="12700"/>
            <wp:docPr id="1" name="Drawing 0" descr="无讼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descr="无讼logo"/>
                    <pic:cNvPicPr>
                      <a:picLocks noChangeAspect="1"/>
                    </pic:cNvPicPr>
                  </pic:nvPicPr>
                  <pic:blipFill>
                    <a:blip r:embed="rId6"/>
                    <a:stretch>
                      <a:fillRect/>
                    </a:stretch>
                  </pic:blipFill>
                  <pic:spPr>
                    <a:xfrm>
                      <a:off x="0" y="0"/>
                      <a:ext cx="2540000" cy="2540000"/>
                    </a:xfrm>
                    <a:prstGeom prst="rect">
                      <a:avLst/>
                    </a:prstGeom>
                  </pic:spPr>
                </pic:pic>
              </a:graphicData>
            </a:graphic>
          </wp:inline>
        </w:drawing>
      </w:r>
    </w:p>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在线查看此法律法规</w:t>
      </w:r>
    </w:p>
    <w:bookmarkEnd w:id="0"/>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4C351D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2018-01-31T08:04:48Z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