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3" w:firstLineChars="200"/>
        <w:jc w:val="center"/>
        <w:textAlignment w:val="center"/>
        <w:outlineLvl w:val="9"/>
        <w:rPr>
          <w:rFonts w:hint="eastAsia" w:ascii="宋体" w:hAnsi="宋体" w:eastAsia="宋体" w:cs="宋体"/>
          <w:b/>
          <w:i w:val="0"/>
          <w:color w:val="auto"/>
          <w:sz w:val="36"/>
        </w:rPr>
      </w:pPr>
      <w:r>
        <w:rPr>
          <w:rFonts w:hint="eastAsia" w:ascii="宋体" w:hAnsi="宋体" w:eastAsia="宋体" w:cs="宋体"/>
          <w:b/>
          <w:i w:val="0"/>
          <w:color w:val="auto"/>
          <w:sz w:val="36"/>
        </w:rPr>
        <w:t>最高人民法院关于审理船舶油污损害赔偿纠纷案件若干问题的规定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3" w:firstLineChars="200"/>
        <w:jc w:val="center"/>
        <w:textAlignment w:val="center"/>
        <w:outlineLvl w:val="9"/>
        <w:rPr>
          <w:rFonts w:hint="eastAsia" w:ascii="宋体" w:hAnsi="宋体" w:eastAsia="宋体" w:cs="宋体"/>
          <w:b/>
          <w:i w:val="0"/>
          <w:color w:val="auto"/>
          <w:sz w:val="36"/>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《最高人民法院关于审理船舶油污损害赔偿纠纷案件若干问题的规定》已于2011年1月10日由最高人民法院审判委员会第1509次会议通过，现予公布，自2011年7月1日起施行。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right"/>
        <w:textAlignment w:val="center"/>
        <w:outlineLvl w:val="9"/>
        <w:rPr>
          <w:rFonts w:hint="eastAsia" w:ascii="宋体" w:hAnsi="宋体" w:eastAsia="宋体" w:cs="宋体"/>
          <w:b w:val="0"/>
          <w:i w:val="0"/>
          <w:color w:val="auto"/>
          <w:sz w:val="26"/>
        </w:rPr>
      </w:pPr>
      <w:r>
        <w:rPr>
          <w:rFonts w:hint="eastAsia" w:ascii="宋体" w:hAnsi="宋体" w:eastAsia="宋体" w:cs="宋体"/>
          <w:b w:val="0"/>
          <w:i w:val="0"/>
          <w:color w:val="auto"/>
          <w:sz w:val="26"/>
        </w:rPr>
        <w:t>二○一一年五月四日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right"/>
        <w:textAlignment w:val="center"/>
        <w:outlineLvl w:val="9"/>
        <w:rPr>
          <w:rFonts w:hint="eastAsia" w:ascii="宋体" w:hAnsi="宋体" w:eastAsia="宋体" w:cs="宋体"/>
          <w:b w:val="0"/>
          <w:i w:val="0"/>
          <w:color w:val="auto"/>
          <w:sz w:val="26"/>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为正确审理船舶油污损害赔偿纠纷案件，依照《中华人民共和国民法通则》、《中华人民共和国侵权责任法》、《中华人民共和国海洋环境保护法》、《中华人民共和国海商法》、《中华人民共和国民事诉讼法》、《中华人民共和国海事诉讼特别程序法》等法律法规以及中华人民共和国缔结或者参加的有关国际条约，结合审判实践，制定本规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第一条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船舶发生油污事故，对中华人民共和国领域和管辖的其他海域造成油污损害或者形成油污损害威胁，人民法院审理相关船舶油污损害赔偿纠纷案件，适用本规定。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第二条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当事人就油轮装载持久性油类造成的油污损害提起诉讼、申请设立油污损害赔偿责任限制基金，由船舶油污事故发生地海事法院管辖。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油轮装载持久性油类引起的船舶油污事故，发生在中华人民共和国领域和管辖的其他海域外，对中华人民共和国领域和管辖的其他海域造成油污损害或者形成油污损害威胁，当事人就船舶油污事故造成的损害提起诉讼、申请设立油污损害赔偿责任限制基金，由油污损害结果地或者采取预防油污措施地海事法院管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第三条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两艘或者两艘以上船舶泄漏油类造成油污损害，受损害人请求各泄漏油船舶所有人承担赔偿责任，按照泄漏油数量及泄漏油类对环境的危害性等因素能够合理分开各自造成的损害，由各泄漏油船舶所有人分别承担责任；不能合理分开各自造成的损害，各泄漏油船舶所有人承担连带责任。但泄漏油船舶所有人依法免予承担责任的除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各泄漏油船舶所有人对受损害人承担连带责任的，相互之间根据各自责任大小确定相应的赔偿数额；难以确定责任大小的，平均承担赔偿责任。泄漏油船舶所有人支付超出自己应赔偿的数额，有权向其他泄漏油船舶所有人追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第四条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船舶互有过失碰撞引起油类泄漏造成油污损害的，受损害人可以请求泄漏油船舶所有人承担全部赔偿责任。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第五条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油轮装载的持久性油类造成油污损害的，应依照《防治船舶污染海洋环境管理条例》、《1992年国际油污损害民事责任公约》的规定确定赔偿限额。</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油轮装载的非持久性燃油或者非油轮装载的燃油造成油污损害的，应依照海商法关于海事赔偿责任限制的规定确定赔偿限额。</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第六条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经证明油污损害是由于船舶所有人的故意或者明知可能造成此种损害而轻率地作为或者不作为造成的，船舶所有人主张限制赔偿责任，人民法院不予支持。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第七条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油污损害是由于船舶所有人故意造成的，受损害人请求船舶油污损害责任保险人或者财务保证人赔偿，人民法院不予支持。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第八条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受损害人直接向船舶油污损害责任保险人或者财务保证人提起诉讼，船舶油污损害责任保险人或者财务保证人可以对受损害人主张船舶所有人的抗辩。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除船舶所有人故意造成油污损害外，船舶油污损害责任保险人或者财务保证人向受损害人主张其对船舶所有人的抗辩，人民法院不予支持。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第九条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船舶油污损害赔偿范围包括:</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（一） 为防止或者减轻船舶油污损害采取预防措施所发生的费用，以及预防措施造成的进一步灭失或者损害；</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（二） 船舶油污事故造成该船舶之外的财产损害以及由此引起的收入损失；</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（三） 因油污造成环境损害所引起的收入损失；</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（四） 对受污染的环境已采取或将要采取合理恢复措施的费用。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第十条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对预防措施费用以及预防措施造成的进一步灭失或者损害，人民法院应当结合污染范围、污染程度、油类泄漏量、预防措施的合理性、参与清除油污人员及投入使用设备的费用等因素合理认定。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第十一条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对遇险船舶实施防污措施，作业开始时的主要目的仅是为防止、减轻油污损害的，所发生的费用应认定为预防措施费用。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作业具有救助遇险船舶、其他财产和防止、减轻油污损害的双重目的，应根据目的的主次比例合理划分预防措施费用与救助措施费用；无合理依据区分主次目的的，相关费用应平均分摊。但污染危险消除后发生的费用不应列为预防措施费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第十二条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船舶泄漏油类污染其他船舶、渔具、养殖设施等财产，受损害人请求油污责任人赔偿因清洗、修复受污染财产支付的合理费用，人民法院应予支持。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受污染财产无法清洗、修复，或者清洗、修复成本超过其价值的，受损害人请求油污责任人赔偿合理的更换费用，人民法院应予支持，但应参照受污染财产实际使用年限与预期使用年限的比例作合理扣除。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第十三条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受损害人因其财产遭受船舶油污，不能正常生产经营的，其收入损失应以财产清洗、修复或者更换所需合理期间为限进行计算。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第十四条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海洋渔业、滨海旅游业及其他用海、临海经营单位或者个人请求因环境污染所遭受的收入损失，具备下列全部条件，由此证明收入损失与环境污染之间具有直接因果关系的，人民法院应予支持: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（一） 请求人的生产经营活动位于或者接近污染区域；</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（二） 请求人的生产经营活动主要依赖受污染资源或者海岸线；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（三） 请求人难以找到其他替代资源或者商业机会；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（四） 请求人的生产经营业务属于当地相对稳定的产业。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第十五条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未经相关行政主管部门许可，受损害人从事海上养殖、海洋捕捞，主张收入损失的，人民法院不予支持；但请求赔偿清洗、修复、更换养殖或者捕捞设施的合理费用，人民法院应予支持。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第十六条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受损害人主张因其财产受污染或者因环境污染造成的收入损失，应以其前三年同期平均净收入扣减受损期间的实际净收入计算，并适当考虑影响收入的其他相关因素予以合理确定。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按照前款规定无法认定收入损失的，可以参考政府部门的相关统计数据和信息，或者同区域同类生产经营者的同期平均收入合理认定。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受损害人采取合理措施避免收入损失，请求赔偿合理措施的费用，人民法院应予支持，但以其避免发生的收入损失数额为限。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第十七条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船舶油污事故造成环境损害的，对环境损害的赔偿应限于已实际采取或者将要采取的合理恢复措施的费用。恢复措施的费用包括合理的监测、评估、研究费用。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第十八条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船舶取得有效的油污损害民事责任保险或者具有相应财务保证的，油污受损害人主张船舶优先权的，人民法院不予支持。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第十九条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对油轮装载的非持久性燃油、非油轮装载的燃油造成油污损害的赔偿请求，适用海商法关于海事赔偿责任限制的规定。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同一海事事故造成前款规定的油污损害和海商法第二百零七条规定的可以限制赔偿责任的其他损害，船舶所有人依照海商法第十一章的规定主张在同一赔偿限额内限制赔偿责任的，人民法院应予支持。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第二十条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为避免油轮装载的非持久性燃油、非油轮装载的燃油造成油污损害，对沉没、搁浅、遇难船舶采取起浮、清除或者使之无害措施，船舶所有人对由此发生的费用主张依照海商法第十一章的规定限制赔偿责任的，人民法院不予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第二十一条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对油轮装载持久性油类造成的油污损害，船舶所有人，或者船舶油污责任保险人、财务保证人主张责任限制的，应当设立油污损害赔偿责任限制基金。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油污损害赔偿责任限制基金以现金方式设立的，基金数额为《防治船舶污染海洋环境管理条例》、《1992年国际油污损害民事责任公约》规定的赔偿限额。以担保方式设立基金的，担保数额为基金数额及其在基金设立期间的利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第二十二条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船舶所有人、船舶油污损害责任保险人或者财务保证人申请设立油污损害赔偿责任限制基金，利害关系人对船舶所有人主张限制赔偿责任有异议的，应当在海事诉讼特别程序法第一百零六条第一款规定的异议期内以书面形式提出，但提出该异议不影响基金的设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第二十三条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对油轮装载持久性油类造成的油污损害，利害关系人没有在异议期内对船舶所有人主张限制赔偿责任提出异议，油污损害赔偿责任限制基金设立后，海事法院应当解除对船舶所有人的财产采取的保全措施或者发还为解除保全措施而提供的担保。</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第二十四条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对油轮装载持久性油类造成的油污损害，利害关系人在异议期内对船舶所有人主张限制赔偿责任提出异议的，人民法院在认定船舶所有人有权限制赔偿责任的裁决生效后，应当解除对船舶所有人的财产采取的保全措施或者发还为解除保全措施而提供的担保。</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第二十五条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对油轮装载持久性油类造成的油污损害，受损害人提起诉讼时主张船舶所有人无权限制赔偿责任的，海事法院对船舶所有人是否有权限制赔偿责任的争议，可以先行审理并作出判决。</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第二十六条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对油轮装载持久性油类造成的油污损害，受损害人没有在规定的债权登记期间申请债权登记的，视为放弃在油污损害赔偿责任限制基金中受偿的权利。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第二十七条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油污损害赔偿责任限制基金不足以清偿有关油污损害的，应根据确认的赔偿数额依法按比例分配。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第二十八条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对油轮装载持久性油类造成的油污损害，船舶所有人、船舶油污损害责任保险人或者财务保证人申请设立油污损害赔偿责任限制基金、受损害人申请债权登记与受偿，本规定没有规定的，适用海事诉讼特别程序法及相关司法解释的规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第二十九条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在油污损害赔偿责任限制基金分配以前，船舶所有人、船舶油污损害责任保险人或者财务保证人，已先行赔付油污损害的，可以书面申请从基金中代位受偿。代位受偿应限于赔付的范围，并不超过接受赔付的人依法可获得的赔偿数额。</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海事法院受理代位受偿申请后，应书面通知所有对油污损害赔偿责任限制基金提出主张的利害关系人。利害关系人对申请人主张代位受偿的权利有异议的，应在收到通知之日起十五日内书面提出。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海事法院经审查认定申请人代位受偿权利成立，应裁定予以确认；申请人主张代位受偿的权利缺乏事实或者法律依据的，裁定驳回其申请。当事人对裁定不服的，可以在收到裁定书之日起十日内提起上诉。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第三十条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船舶所有人为主动防止、减轻油污损害而支出的合理费用或者所作的合理牺牲，请求参与油污损害赔偿责任限制基金分配的，人民法院应予支持，比照本规定第二十九条第二款、第三款的规定处理。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第三十一条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本规定中下列用语的含义是: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（一） 船舶，是指非用于军事或者政府公务的海船和其他海上移动式装置，包括航行于国际航线和国内航线的油轮和非油轮。其中，油轮是指为运输散装持久性货油而建造或者改建的船舶，以及实际装载散装持久性货油的其他船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（二） 油类，是指烃类矿物油及其残余物，限于装载于船上作为货物运输的持久性货油、装载用于本船运行的持久性和非持久性燃油，不包括装载于船上作为货物运输的非持久性货油。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（三） 船舶油污事故，是指船舶泄漏油类造成油污损害，或者虽未泄漏油类但形成严重和紧迫油污损害威胁的一个或者一系列事件。一系列事件因同一原因而发生的，视为同一事故。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（四） 船舶油污损害责任保险人或者财务保证人，是指海事事故中泄漏油类或者直接形成油污损害威胁的船舶一方的油污责任保险人或者财务保证人。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（五） 油污损害赔偿责任限制基金，是指船舶所有人、船舶油污损害责任保险人或者财务保证人，对油轮装载持久性油类造成的油污损害申请设立的赔偿责任限制基金。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第三十二条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本规定实施前本院发布的司法解释与本规定不一致的，以本规定为准。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20" w:firstLineChars="200"/>
        <w:jc w:val="left"/>
        <w:textAlignment w:val="center"/>
        <w:outlineLvl w:val="9"/>
        <w:rPr>
          <w:rFonts w:hint="eastAsia" w:ascii="宋体" w:hAnsi="宋体" w:eastAsia="宋体" w:cs="宋体"/>
          <w:color w:val="auto"/>
        </w:rPr>
      </w:pPr>
      <w:r>
        <w:rPr>
          <w:rFonts w:hint="eastAsia" w:ascii="宋体" w:hAnsi="宋体" w:eastAsia="宋体" w:cs="宋体"/>
          <w:b w:val="0"/>
          <w:i w:val="0"/>
          <w:color w:val="auto"/>
          <w:sz w:val="26"/>
        </w:rPr>
        <w:t>本规定施行前已经终审的案件，人民法院进行再审时，不适用本规定。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center"/>
        <w:textAlignment w:val="center"/>
        <w:outlineLvl w:val="9"/>
        <w:rPr>
          <w:rFonts w:hint="eastAsia" w:ascii="宋体" w:hAnsi="宋体" w:eastAsia="宋体" w:cs="宋体"/>
          <w:color w:val="auto"/>
        </w:rPr>
      </w:pPr>
    </w:p>
    <w:p>
      <w:pPr>
        <w:keepNext w:val="0"/>
        <w:keepLines w:val="0"/>
        <w:pageBreakBefore w:val="0"/>
        <w:widowControl w:val="0"/>
        <w:kinsoku/>
        <w:wordWrap/>
        <w:overflowPunct/>
        <w:topLinePunct w:val="0"/>
        <w:autoSpaceDE/>
        <w:autoSpaceDN/>
        <w:bidi w:val="0"/>
        <w:adjustRightInd/>
        <w:snapToGrid/>
        <w:spacing w:line="240" w:lineRule="auto"/>
        <w:ind w:right="0" w:rightChars="0"/>
        <w:outlineLvl w:val="9"/>
        <w:rPr>
          <w:rFonts w:hint="eastAsia" w:ascii="宋体" w:hAnsi="宋体" w:eastAsia="宋体" w:cs="宋体"/>
          <w:color w:val="auto"/>
        </w:rPr>
      </w:pPr>
      <w:bookmarkStart w:id="0" w:name="_GoBack"/>
      <w:bookmarkEnd w:id="0"/>
    </w:p>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234229C2"/>
    <w:rsid w:val="49F275B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qFormat/>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Heiti SC Light" w:eastAsia="Heiti SC Light"/>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qFormat/>
    <w:uiPriority w:val="99"/>
    <w:rPr>
      <w:sz w:val="18"/>
      <w:szCs w:val="18"/>
    </w:rPr>
  </w:style>
  <w:style w:type="character" w:customStyle="1" w:styleId="10">
    <w:name w:val="批注框文本字符"/>
    <w:basedOn w:val="5"/>
    <w:link w:val="2"/>
    <w:semiHidden/>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2018-02-11T06:31:56Z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